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B8A" w:rsidRPr="00717999" w:rsidRDefault="00984B8A" w:rsidP="00984B8A">
      <w:pPr>
        <w:jc w:val="center"/>
        <w:rPr>
          <w:rFonts w:asciiTheme="minorHAnsi" w:hAnsiTheme="minorHAnsi" w:cstheme="minorHAnsi"/>
        </w:rPr>
      </w:pPr>
      <w:bookmarkStart w:id="0" w:name="_GoBack"/>
      <w:bookmarkEnd w:id="0"/>
      <w:r w:rsidRPr="00717999">
        <w:rPr>
          <w:rFonts w:asciiTheme="minorHAnsi" w:hAnsiTheme="minorHAnsi" w:cstheme="minorHAnsi"/>
        </w:rPr>
        <w:t>FASB Codification</w:t>
      </w:r>
      <w:r w:rsidR="0011761C" w:rsidRPr="00717999">
        <w:rPr>
          <w:rFonts w:asciiTheme="minorHAnsi" w:hAnsiTheme="minorHAnsi" w:cstheme="minorHAnsi"/>
        </w:rPr>
        <w:t xml:space="preserve"> (ASC)</w:t>
      </w:r>
    </w:p>
    <w:p w:rsidR="00984B8A" w:rsidRPr="00717999" w:rsidRDefault="00984B8A" w:rsidP="00984B8A">
      <w:pPr>
        <w:jc w:val="center"/>
        <w:rPr>
          <w:rFonts w:asciiTheme="minorHAnsi" w:hAnsiTheme="minorHAnsi" w:cstheme="minorHAnsi"/>
        </w:rPr>
      </w:pPr>
      <w:r w:rsidRPr="00717999">
        <w:rPr>
          <w:rFonts w:asciiTheme="minorHAnsi" w:hAnsiTheme="minorHAnsi" w:cstheme="minorHAnsi"/>
        </w:rPr>
        <w:t>ACC 320</w:t>
      </w:r>
    </w:p>
    <w:p w:rsidR="00984B8A" w:rsidRPr="00717999" w:rsidRDefault="00984B8A" w:rsidP="00984B8A">
      <w:pPr>
        <w:jc w:val="center"/>
        <w:rPr>
          <w:rFonts w:asciiTheme="minorHAnsi" w:hAnsiTheme="minorHAnsi" w:cstheme="minorHAnsi"/>
        </w:rPr>
      </w:pPr>
    </w:p>
    <w:p w:rsidR="00984B8A" w:rsidRPr="00717999" w:rsidRDefault="00984B8A" w:rsidP="00984B8A">
      <w:pPr>
        <w:rPr>
          <w:rFonts w:asciiTheme="minorHAnsi" w:hAnsiTheme="minorHAnsi" w:cstheme="minorHAnsi"/>
        </w:rPr>
      </w:pPr>
    </w:p>
    <w:p w:rsidR="00984B8A" w:rsidRPr="00717999" w:rsidRDefault="00984B8A" w:rsidP="00984B8A">
      <w:pPr>
        <w:rPr>
          <w:rFonts w:asciiTheme="minorHAnsi" w:hAnsiTheme="minorHAnsi" w:cstheme="minorHAnsi"/>
        </w:rPr>
      </w:pPr>
    </w:p>
    <w:p w:rsidR="00984B8A" w:rsidRPr="00717999" w:rsidRDefault="00984B8A" w:rsidP="00984B8A">
      <w:pPr>
        <w:rPr>
          <w:rFonts w:asciiTheme="minorHAnsi" w:hAnsiTheme="minorHAnsi" w:cstheme="minorHAnsi"/>
        </w:rPr>
      </w:pPr>
      <w:r w:rsidRPr="00717999">
        <w:rPr>
          <w:rFonts w:asciiTheme="minorHAnsi" w:hAnsiTheme="minorHAnsi" w:cstheme="minorHAnsi"/>
        </w:rPr>
        <w:t>On Blackboard in Course Content Information you will find the login information that you need to access the FASB</w:t>
      </w:r>
      <w:r w:rsidR="00263484" w:rsidRPr="00717999">
        <w:rPr>
          <w:rFonts w:asciiTheme="minorHAnsi" w:hAnsiTheme="minorHAnsi" w:cstheme="minorHAnsi"/>
        </w:rPr>
        <w:t>’s</w:t>
      </w:r>
      <w:r w:rsidRPr="00717999">
        <w:rPr>
          <w:rFonts w:asciiTheme="minorHAnsi" w:hAnsiTheme="minorHAnsi" w:cstheme="minorHAnsi"/>
        </w:rPr>
        <w:t xml:space="preserve"> Codification – the URL, the user ID, and the password. Additionally, you will find a Learning Guide that will help you use the Codification, as well </w:t>
      </w:r>
      <w:r w:rsidR="00153497" w:rsidRPr="00717999">
        <w:rPr>
          <w:rFonts w:asciiTheme="minorHAnsi" w:hAnsiTheme="minorHAnsi" w:cstheme="minorHAnsi"/>
        </w:rPr>
        <w:t xml:space="preserve">as </w:t>
      </w:r>
      <w:r w:rsidRPr="00717999">
        <w:rPr>
          <w:rFonts w:asciiTheme="minorHAnsi" w:hAnsiTheme="minorHAnsi" w:cstheme="minorHAnsi"/>
        </w:rPr>
        <w:t xml:space="preserve">show you proper citation. Do NOT use the URL that is within the </w:t>
      </w:r>
      <w:r w:rsidR="00153497" w:rsidRPr="00717999">
        <w:rPr>
          <w:rFonts w:asciiTheme="minorHAnsi" w:hAnsiTheme="minorHAnsi" w:cstheme="minorHAnsi"/>
        </w:rPr>
        <w:t xml:space="preserve">pdf file </w:t>
      </w:r>
      <w:r w:rsidRPr="00717999">
        <w:rPr>
          <w:rFonts w:asciiTheme="minorHAnsi" w:hAnsiTheme="minorHAnsi" w:cstheme="minorHAnsi"/>
        </w:rPr>
        <w:t xml:space="preserve">lesson on logging into the Codification in The Guide. </w:t>
      </w:r>
      <w:r w:rsidRPr="00717999">
        <w:rPr>
          <w:rFonts w:asciiTheme="minorHAnsi" w:hAnsiTheme="minorHAnsi" w:cstheme="minorHAnsi"/>
          <w:u w:val="single"/>
        </w:rPr>
        <w:t>Universities have a different login URL</w:t>
      </w:r>
      <w:r w:rsidRPr="00717999">
        <w:rPr>
          <w:rFonts w:asciiTheme="minorHAnsi" w:hAnsiTheme="minorHAnsi" w:cstheme="minorHAnsi"/>
        </w:rPr>
        <w:t xml:space="preserve">. </w:t>
      </w:r>
      <w:r w:rsidR="00263484" w:rsidRPr="00717999">
        <w:rPr>
          <w:rFonts w:asciiTheme="minorHAnsi" w:hAnsiTheme="minorHAnsi" w:cstheme="minorHAnsi"/>
        </w:rPr>
        <w:t xml:space="preserve">Again, </w:t>
      </w:r>
      <w:r w:rsidRPr="00717999">
        <w:rPr>
          <w:rFonts w:asciiTheme="minorHAnsi" w:hAnsiTheme="minorHAnsi" w:cstheme="minorHAnsi"/>
        </w:rPr>
        <w:t>I have provided you with a direct link to the proper login URL on Blackboard.</w:t>
      </w:r>
    </w:p>
    <w:p w:rsidR="00984B8A" w:rsidRPr="00717999" w:rsidRDefault="00984B8A" w:rsidP="00984B8A">
      <w:pPr>
        <w:rPr>
          <w:rFonts w:asciiTheme="minorHAnsi" w:hAnsiTheme="minorHAnsi" w:cstheme="minorHAnsi"/>
        </w:rPr>
      </w:pPr>
    </w:p>
    <w:p w:rsidR="00BE03B0" w:rsidRPr="00717999" w:rsidRDefault="00984B8A" w:rsidP="00984B8A">
      <w:pPr>
        <w:rPr>
          <w:rFonts w:asciiTheme="minorHAnsi" w:hAnsiTheme="minorHAnsi" w:cstheme="minorHAnsi"/>
        </w:rPr>
      </w:pPr>
      <w:r w:rsidRPr="00717999">
        <w:rPr>
          <w:rFonts w:asciiTheme="minorHAnsi" w:hAnsiTheme="minorHAnsi" w:cstheme="minorHAnsi"/>
        </w:rPr>
        <w:t xml:space="preserve">The </w:t>
      </w:r>
      <w:r w:rsidR="00E23639" w:rsidRPr="00717999">
        <w:rPr>
          <w:rFonts w:asciiTheme="minorHAnsi" w:hAnsiTheme="minorHAnsi" w:cstheme="minorHAnsi"/>
        </w:rPr>
        <w:t xml:space="preserve">Accounting Standards Codification (ASC) is the single source of GAAP in the United States. Thus, you must learn how to navigate The Codification to research accounting questions. This assignment is designed to expose you to The Codification and begin the process of learning how to navigate around </w:t>
      </w:r>
      <w:r w:rsidR="00534397" w:rsidRPr="00717999">
        <w:rPr>
          <w:rFonts w:asciiTheme="minorHAnsi" w:hAnsiTheme="minorHAnsi" w:cstheme="minorHAnsi"/>
        </w:rPr>
        <w:t>the ASC</w:t>
      </w:r>
      <w:r w:rsidR="00E23639" w:rsidRPr="00717999">
        <w:rPr>
          <w:rFonts w:asciiTheme="minorHAnsi" w:hAnsiTheme="minorHAnsi" w:cstheme="minorHAnsi"/>
        </w:rPr>
        <w:t xml:space="preserve"> and research accounting principles</w:t>
      </w:r>
      <w:r w:rsidR="00BE03B0" w:rsidRPr="00717999">
        <w:rPr>
          <w:rFonts w:asciiTheme="minorHAnsi" w:hAnsiTheme="minorHAnsi" w:cstheme="minorHAnsi"/>
        </w:rPr>
        <w:t xml:space="preserve"> to determine the appropriate reporting/recognizing treatment for an economic activity (business transaction)</w:t>
      </w:r>
      <w:r w:rsidR="00E23639" w:rsidRPr="00717999">
        <w:rPr>
          <w:rFonts w:asciiTheme="minorHAnsi" w:hAnsiTheme="minorHAnsi" w:cstheme="minorHAnsi"/>
        </w:rPr>
        <w:t xml:space="preserve">. </w:t>
      </w:r>
    </w:p>
    <w:p w:rsidR="00BE03B0" w:rsidRPr="00717999" w:rsidRDefault="00BE03B0" w:rsidP="00984B8A">
      <w:pPr>
        <w:rPr>
          <w:rFonts w:asciiTheme="minorHAnsi" w:hAnsiTheme="minorHAnsi" w:cstheme="minorHAnsi"/>
        </w:rPr>
      </w:pPr>
    </w:p>
    <w:p w:rsidR="00984B8A" w:rsidRPr="00717999" w:rsidRDefault="00E23639" w:rsidP="00984B8A">
      <w:pPr>
        <w:rPr>
          <w:rFonts w:asciiTheme="minorHAnsi" w:hAnsiTheme="minorHAnsi" w:cstheme="minorHAnsi"/>
        </w:rPr>
      </w:pPr>
      <w:r w:rsidRPr="00717999">
        <w:rPr>
          <w:rFonts w:asciiTheme="minorHAnsi" w:hAnsiTheme="minorHAnsi" w:cstheme="minorHAnsi"/>
        </w:rPr>
        <w:t xml:space="preserve">Answer the following </w:t>
      </w:r>
      <w:r w:rsidR="00BE03B0" w:rsidRPr="00717999">
        <w:rPr>
          <w:rFonts w:asciiTheme="minorHAnsi" w:hAnsiTheme="minorHAnsi" w:cstheme="minorHAnsi"/>
        </w:rPr>
        <w:t xml:space="preserve">general </w:t>
      </w:r>
      <w:r w:rsidRPr="00717999">
        <w:rPr>
          <w:rFonts w:asciiTheme="minorHAnsi" w:hAnsiTheme="minorHAnsi" w:cstheme="minorHAnsi"/>
        </w:rPr>
        <w:t>questions.</w:t>
      </w:r>
    </w:p>
    <w:p w:rsidR="00E23639" w:rsidRPr="00717999" w:rsidRDefault="00E23639" w:rsidP="00984B8A">
      <w:pPr>
        <w:rPr>
          <w:rFonts w:asciiTheme="minorHAnsi" w:hAnsiTheme="minorHAnsi" w:cstheme="minorHAnsi"/>
        </w:rPr>
      </w:pPr>
    </w:p>
    <w:p w:rsidR="00BE03B0" w:rsidRPr="00BB0C8B" w:rsidRDefault="00BE03B0" w:rsidP="00BE03B0">
      <w:pPr>
        <w:pStyle w:val="ListParagraph"/>
        <w:numPr>
          <w:ilvl w:val="0"/>
          <w:numId w:val="1"/>
        </w:numPr>
        <w:rPr>
          <w:rFonts w:eastAsia="Times New Roman" w:cstheme="minorHAnsi"/>
          <w:b/>
          <w:i/>
        </w:rPr>
      </w:pPr>
      <w:r w:rsidRPr="00BB0C8B">
        <w:rPr>
          <w:rFonts w:eastAsia="Times New Roman" w:cstheme="minorHAnsi"/>
          <w:b/>
          <w:i/>
        </w:rPr>
        <w:t>The Codification</w:t>
      </w:r>
      <w:r w:rsidR="00C57807" w:rsidRPr="00BB0C8B">
        <w:rPr>
          <w:rFonts w:eastAsia="Times New Roman" w:cstheme="minorHAnsi"/>
          <w:b/>
          <w:i/>
        </w:rPr>
        <w:t xml:space="preserve"> (ASC)</w:t>
      </w:r>
      <w:r w:rsidRPr="00BB0C8B">
        <w:rPr>
          <w:rFonts w:eastAsia="Times New Roman" w:cstheme="minorHAnsi"/>
          <w:b/>
          <w:i/>
        </w:rPr>
        <w:t xml:space="preserve"> content is organized by subject matter in a hierarchy</w:t>
      </w:r>
      <w:r w:rsidR="00392E51" w:rsidRPr="00BB0C8B">
        <w:rPr>
          <w:rFonts w:eastAsia="Times New Roman" w:cstheme="minorHAnsi"/>
          <w:b/>
          <w:i/>
        </w:rPr>
        <w:t xml:space="preserve">. The highest level is the area. </w:t>
      </w:r>
      <w:r w:rsidR="00392E51" w:rsidRPr="00BB0C8B">
        <w:rPr>
          <w:rFonts w:eastAsia="Times New Roman" w:cstheme="minorHAnsi"/>
          <w:b/>
          <w:i/>
          <w:color w:val="0000FF"/>
        </w:rPr>
        <w:t>What are the remaining levels in the hierarchy?</w:t>
      </w:r>
      <w:r w:rsidR="00392E51" w:rsidRPr="00BB0C8B">
        <w:rPr>
          <w:rFonts w:eastAsia="Times New Roman" w:cstheme="minorHAnsi"/>
          <w:b/>
          <w:i/>
        </w:rPr>
        <w:t xml:space="preserve"> </w:t>
      </w:r>
    </w:p>
    <w:p w:rsidR="00B33FE6" w:rsidRPr="00BB0C8B" w:rsidRDefault="00BB0C8B" w:rsidP="00B33FE6">
      <w:pPr>
        <w:pStyle w:val="ListParagraph"/>
        <w:rPr>
          <w:rFonts w:eastAsia="Times New Roman" w:cstheme="minorHAnsi"/>
          <w:b/>
        </w:rPr>
      </w:pPr>
      <w:r w:rsidRPr="00BB0C8B">
        <w:rPr>
          <w:rFonts w:eastAsia="Times New Roman" w:cstheme="minorHAnsi"/>
          <w:b/>
          <w:color w:val="0000FF"/>
        </w:rPr>
        <w:t>The remaining levels in the hierarchy</w:t>
      </w:r>
    </w:p>
    <w:p w:rsidR="00BB0C8B" w:rsidRPr="00BB0C8B" w:rsidRDefault="00BB0C8B" w:rsidP="00BB0C8B">
      <w:pPr>
        <w:pStyle w:val="ListParagraph"/>
        <w:numPr>
          <w:ilvl w:val="0"/>
          <w:numId w:val="3"/>
        </w:numPr>
        <w:rPr>
          <w:rFonts w:eastAsia="Times New Roman" w:cstheme="minorHAnsi"/>
          <w:b/>
          <w:color w:val="C00000"/>
        </w:rPr>
      </w:pPr>
      <w:r w:rsidRPr="00BB0C8B">
        <w:rPr>
          <w:rFonts w:eastAsia="Times New Roman" w:cstheme="minorHAnsi"/>
          <w:b/>
          <w:color w:val="C00000"/>
        </w:rPr>
        <w:t xml:space="preserve">Topic </w:t>
      </w:r>
      <w:r w:rsidR="006116DF">
        <w:rPr>
          <w:rFonts w:eastAsia="Times New Roman" w:cstheme="minorHAnsi"/>
          <w:b/>
          <w:color w:val="C00000"/>
        </w:rPr>
        <w:t xml:space="preserve">– represents the broad categories with the code, they are represented by three </w:t>
      </w:r>
      <w:r w:rsidR="00FD346A">
        <w:rPr>
          <w:rFonts w:eastAsia="Times New Roman" w:cstheme="minorHAnsi"/>
          <w:b/>
          <w:color w:val="C00000"/>
        </w:rPr>
        <w:t>digits’</w:t>
      </w:r>
      <w:r w:rsidR="006116DF">
        <w:rPr>
          <w:rFonts w:eastAsia="Times New Roman" w:cstheme="minorHAnsi"/>
          <w:b/>
          <w:color w:val="C00000"/>
        </w:rPr>
        <w:t xml:space="preserve"> topic codes. </w:t>
      </w:r>
    </w:p>
    <w:p w:rsidR="00BB0C8B" w:rsidRPr="00BB0C8B" w:rsidRDefault="00BB0C8B" w:rsidP="00BB0C8B">
      <w:pPr>
        <w:pStyle w:val="ListParagraph"/>
        <w:numPr>
          <w:ilvl w:val="0"/>
          <w:numId w:val="3"/>
        </w:numPr>
        <w:rPr>
          <w:rFonts w:eastAsia="Times New Roman" w:cstheme="minorHAnsi"/>
          <w:b/>
          <w:color w:val="C00000"/>
        </w:rPr>
      </w:pPr>
      <w:r w:rsidRPr="00BB0C8B">
        <w:rPr>
          <w:rFonts w:eastAsia="Times New Roman" w:cstheme="minorHAnsi"/>
          <w:b/>
          <w:color w:val="C00000"/>
        </w:rPr>
        <w:t xml:space="preserve">Subtopic </w:t>
      </w:r>
      <w:r w:rsidR="00FD346A">
        <w:rPr>
          <w:rFonts w:eastAsia="Times New Roman" w:cstheme="minorHAnsi"/>
          <w:b/>
          <w:color w:val="C00000"/>
        </w:rPr>
        <w:t>– Narrower look at the topic</w:t>
      </w:r>
    </w:p>
    <w:p w:rsidR="00BB0C8B" w:rsidRPr="00BB0C8B" w:rsidRDefault="00BB0C8B" w:rsidP="00BB0C8B">
      <w:pPr>
        <w:pStyle w:val="ListParagraph"/>
        <w:numPr>
          <w:ilvl w:val="0"/>
          <w:numId w:val="3"/>
        </w:numPr>
        <w:rPr>
          <w:rFonts w:eastAsia="Times New Roman" w:cstheme="minorHAnsi"/>
          <w:b/>
          <w:color w:val="C00000"/>
        </w:rPr>
      </w:pPr>
      <w:r w:rsidRPr="00BB0C8B">
        <w:rPr>
          <w:rFonts w:eastAsia="Times New Roman" w:cstheme="minorHAnsi"/>
          <w:b/>
          <w:color w:val="C00000"/>
        </w:rPr>
        <w:t xml:space="preserve">Section </w:t>
      </w:r>
      <w:r w:rsidR="00FD346A">
        <w:rPr>
          <w:rFonts w:eastAsia="Times New Roman" w:cstheme="minorHAnsi"/>
          <w:b/>
          <w:color w:val="C00000"/>
        </w:rPr>
        <w:t>– Uniform headings</w:t>
      </w:r>
    </w:p>
    <w:p w:rsidR="00BB0C8B" w:rsidRPr="00BB0C8B" w:rsidRDefault="00BB0C8B" w:rsidP="00FD346A">
      <w:pPr>
        <w:pStyle w:val="ListParagraph"/>
        <w:numPr>
          <w:ilvl w:val="0"/>
          <w:numId w:val="3"/>
        </w:numPr>
        <w:rPr>
          <w:rFonts w:eastAsia="Times New Roman" w:cstheme="minorHAnsi"/>
          <w:b/>
          <w:color w:val="C00000"/>
        </w:rPr>
      </w:pPr>
      <w:r w:rsidRPr="00BB0C8B">
        <w:rPr>
          <w:rFonts w:eastAsia="Times New Roman" w:cstheme="minorHAnsi"/>
          <w:b/>
          <w:color w:val="C00000"/>
        </w:rPr>
        <w:t>Subsection</w:t>
      </w:r>
      <w:r w:rsidR="00FD346A">
        <w:rPr>
          <w:rFonts w:eastAsia="Times New Roman" w:cstheme="minorHAnsi"/>
          <w:b/>
          <w:color w:val="C00000"/>
        </w:rPr>
        <w:t xml:space="preserve"> - </w:t>
      </w:r>
      <w:r w:rsidR="00FD346A" w:rsidRPr="00FD346A">
        <w:rPr>
          <w:rFonts w:eastAsia="Times New Roman" w:cstheme="minorHAnsi"/>
          <w:b/>
          <w:color w:val="C00000"/>
        </w:rPr>
        <w:t>organize paragraphs</w:t>
      </w:r>
    </w:p>
    <w:p w:rsidR="00BB0C8B" w:rsidRPr="00BB0C8B" w:rsidRDefault="00BB0C8B" w:rsidP="00BB0C8B">
      <w:pPr>
        <w:pStyle w:val="ListParagraph"/>
        <w:numPr>
          <w:ilvl w:val="0"/>
          <w:numId w:val="3"/>
        </w:numPr>
        <w:rPr>
          <w:rFonts w:eastAsia="Times New Roman" w:cstheme="minorHAnsi"/>
          <w:b/>
          <w:color w:val="C00000"/>
        </w:rPr>
      </w:pPr>
      <w:r w:rsidRPr="00BB0C8B">
        <w:rPr>
          <w:rFonts w:eastAsia="Times New Roman" w:cstheme="minorHAnsi"/>
          <w:b/>
          <w:color w:val="C00000"/>
        </w:rPr>
        <w:t xml:space="preserve">Paragraph group </w:t>
      </w:r>
      <w:r w:rsidR="00FD346A">
        <w:rPr>
          <w:rFonts w:eastAsia="Times New Roman" w:cstheme="minorHAnsi"/>
          <w:b/>
          <w:color w:val="C00000"/>
        </w:rPr>
        <w:t>– provides guidance on standard</w:t>
      </w:r>
    </w:p>
    <w:p w:rsidR="00BB0C8B" w:rsidRPr="00BB0C8B" w:rsidRDefault="00BB0C8B" w:rsidP="00BB0C8B">
      <w:pPr>
        <w:pStyle w:val="ListParagraph"/>
        <w:numPr>
          <w:ilvl w:val="0"/>
          <w:numId w:val="3"/>
        </w:numPr>
        <w:rPr>
          <w:rFonts w:eastAsia="Times New Roman" w:cstheme="minorHAnsi"/>
          <w:b/>
          <w:color w:val="C00000"/>
        </w:rPr>
      </w:pPr>
      <w:r w:rsidRPr="00BB0C8B">
        <w:rPr>
          <w:rFonts w:eastAsia="Times New Roman" w:cstheme="minorHAnsi"/>
          <w:b/>
          <w:color w:val="C00000"/>
        </w:rPr>
        <w:t xml:space="preserve">Paragraph </w:t>
      </w:r>
      <w:r w:rsidR="00FD346A">
        <w:rPr>
          <w:rFonts w:eastAsia="Times New Roman" w:cstheme="minorHAnsi"/>
          <w:b/>
          <w:color w:val="C00000"/>
        </w:rPr>
        <w:t xml:space="preserve">- </w:t>
      </w:r>
    </w:p>
    <w:p w:rsidR="000347CB" w:rsidRPr="00BB0C8B" w:rsidRDefault="00BB0C8B" w:rsidP="00BB0C8B">
      <w:pPr>
        <w:pStyle w:val="ListParagraph"/>
        <w:numPr>
          <w:ilvl w:val="0"/>
          <w:numId w:val="3"/>
        </w:numPr>
        <w:rPr>
          <w:rFonts w:eastAsia="Times New Roman" w:cstheme="minorHAnsi"/>
          <w:b/>
          <w:color w:val="C00000"/>
        </w:rPr>
      </w:pPr>
      <w:r w:rsidRPr="00BB0C8B">
        <w:rPr>
          <w:rFonts w:eastAsia="Times New Roman" w:cstheme="minorHAnsi"/>
          <w:b/>
          <w:color w:val="C00000"/>
        </w:rPr>
        <w:t>Subparagraph.</w:t>
      </w:r>
    </w:p>
    <w:p w:rsidR="00E23639" w:rsidRDefault="00C57807" w:rsidP="00BE03B0">
      <w:pPr>
        <w:pStyle w:val="ListParagraph"/>
        <w:numPr>
          <w:ilvl w:val="0"/>
          <w:numId w:val="1"/>
        </w:numPr>
        <w:rPr>
          <w:rFonts w:cstheme="minorHAnsi"/>
          <w:b/>
          <w:i/>
        </w:rPr>
      </w:pPr>
      <w:r w:rsidRPr="00BB0C8B">
        <w:rPr>
          <w:rFonts w:cstheme="minorHAnsi"/>
          <w:b/>
          <w:i/>
        </w:rPr>
        <w:t xml:space="preserve">To research accounting principles efficiently you should know each of the areas in the ASC. </w:t>
      </w:r>
      <w:r w:rsidR="00953F43" w:rsidRPr="00BB0C8B">
        <w:rPr>
          <w:rFonts w:cstheme="minorHAnsi"/>
          <w:b/>
          <w:i/>
        </w:rPr>
        <w:t>You need to know the areas so tha</w:t>
      </w:r>
      <w:r w:rsidR="0017465D" w:rsidRPr="00BB0C8B">
        <w:rPr>
          <w:rFonts w:cstheme="minorHAnsi"/>
          <w:b/>
          <w:i/>
        </w:rPr>
        <w:t>t you can more easily find the T</w:t>
      </w:r>
      <w:r w:rsidR="00953F43" w:rsidRPr="00BB0C8B">
        <w:rPr>
          <w:rFonts w:cstheme="minorHAnsi"/>
          <w:b/>
          <w:i/>
        </w:rPr>
        <w:t xml:space="preserve">opic </w:t>
      </w:r>
      <w:r w:rsidR="0017465D" w:rsidRPr="00BB0C8B">
        <w:rPr>
          <w:rFonts w:cstheme="minorHAnsi"/>
          <w:b/>
          <w:i/>
        </w:rPr>
        <w:t>and S</w:t>
      </w:r>
      <w:r w:rsidR="00953F43" w:rsidRPr="00BB0C8B">
        <w:rPr>
          <w:rFonts w:cstheme="minorHAnsi"/>
          <w:b/>
          <w:i/>
        </w:rPr>
        <w:t xml:space="preserve">ubtopic of your research question. </w:t>
      </w:r>
      <w:r w:rsidR="00392E51" w:rsidRPr="00BB0C8B">
        <w:rPr>
          <w:rFonts w:cstheme="minorHAnsi"/>
          <w:b/>
          <w:i/>
        </w:rPr>
        <w:t xml:space="preserve">Log in to </w:t>
      </w:r>
      <w:r w:rsidR="00534397" w:rsidRPr="00BB0C8B">
        <w:rPr>
          <w:rFonts w:cstheme="minorHAnsi"/>
          <w:b/>
          <w:i/>
        </w:rPr>
        <w:t>the ASC</w:t>
      </w:r>
      <w:r w:rsidR="00570539" w:rsidRPr="00BB0C8B">
        <w:rPr>
          <w:rFonts w:cstheme="minorHAnsi"/>
          <w:b/>
          <w:i/>
        </w:rPr>
        <w:t xml:space="preserve"> and on the left</w:t>
      </w:r>
      <w:r w:rsidRPr="00BB0C8B">
        <w:rPr>
          <w:rFonts w:cstheme="minorHAnsi"/>
          <w:b/>
          <w:i/>
        </w:rPr>
        <w:t>-hand side</w:t>
      </w:r>
      <w:r w:rsidR="00570539" w:rsidRPr="00BB0C8B">
        <w:rPr>
          <w:rFonts w:cstheme="minorHAnsi"/>
          <w:b/>
          <w:i/>
        </w:rPr>
        <w:t xml:space="preserve"> the areas are listed</w:t>
      </w:r>
      <w:r w:rsidR="00392E51" w:rsidRPr="00BB0C8B">
        <w:rPr>
          <w:rFonts w:cstheme="minorHAnsi"/>
          <w:b/>
          <w:i/>
        </w:rPr>
        <w:t xml:space="preserve">. </w:t>
      </w:r>
      <w:r w:rsidR="00392E51" w:rsidRPr="00BB0C8B">
        <w:rPr>
          <w:rFonts w:cstheme="minorHAnsi"/>
          <w:b/>
          <w:i/>
          <w:color w:val="0000FF"/>
        </w:rPr>
        <w:t xml:space="preserve">How many areas are there in </w:t>
      </w:r>
      <w:r w:rsidR="00380065" w:rsidRPr="00BB0C8B">
        <w:rPr>
          <w:rFonts w:cstheme="minorHAnsi"/>
          <w:b/>
          <w:i/>
          <w:color w:val="0000FF"/>
        </w:rPr>
        <w:t xml:space="preserve">the </w:t>
      </w:r>
      <w:r w:rsidR="00534397" w:rsidRPr="00BB0C8B">
        <w:rPr>
          <w:rFonts w:cstheme="minorHAnsi"/>
          <w:b/>
          <w:i/>
          <w:color w:val="0000FF"/>
        </w:rPr>
        <w:t>ASC</w:t>
      </w:r>
      <w:r w:rsidR="00392E51" w:rsidRPr="00BB0C8B">
        <w:rPr>
          <w:rFonts w:cstheme="minorHAnsi"/>
          <w:b/>
          <w:i/>
          <w:color w:val="0000FF"/>
        </w:rPr>
        <w:t>?</w:t>
      </w:r>
      <w:r w:rsidR="00392E51" w:rsidRPr="00BB0C8B">
        <w:rPr>
          <w:rFonts w:cstheme="minorHAnsi"/>
          <w:b/>
          <w:i/>
        </w:rPr>
        <w:t xml:space="preserve"> </w:t>
      </w:r>
      <w:r w:rsidR="00570539" w:rsidRPr="00BB0C8B">
        <w:rPr>
          <w:rFonts w:cstheme="minorHAnsi"/>
          <w:b/>
          <w:i/>
        </w:rPr>
        <w:t>List each of the areas by including t</w:t>
      </w:r>
      <w:r w:rsidR="00953F43" w:rsidRPr="00BB0C8B">
        <w:rPr>
          <w:rFonts w:cstheme="minorHAnsi"/>
          <w:b/>
          <w:i/>
        </w:rPr>
        <w:t>he title and the numbering</w:t>
      </w:r>
      <w:r w:rsidR="00570539" w:rsidRPr="00BB0C8B">
        <w:rPr>
          <w:rFonts w:cstheme="minorHAnsi"/>
          <w:b/>
          <w:i/>
        </w:rPr>
        <w:t xml:space="preserve"> that is specific to each area. </w:t>
      </w:r>
      <w:r w:rsidR="00953F43" w:rsidRPr="00BB0C8B">
        <w:rPr>
          <w:rFonts w:cstheme="minorHAnsi"/>
          <w:b/>
          <w:i/>
        </w:rPr>
        <w:t xml:space="preserve"> For example, General Principles – 1xx. I</w:t>
      </w:r>
      <w:r w:rsidR="00570539" w:rsidRPr="00BB0C8B">
        <w:rPr>
          <w:rFonts w:cstheme="minorHAnsi"/>
          <w:b/>
          <w:i/>
        </w:rPr>
        <w:t>nclude a screenshot showing where you ob</w:t>
      </w:r>
      <w:r w:rsidR="000347CB" w:rsidRPr="00BB0C8B">
        <w:rPr>
          <w:rFonts w:cstheme="minorHAnsi"/>
          <w:b/>
          <w:i/>
        </w:rPr>
        <w:t>tained this information.</w:t>
      </w:r>
    </w:p>
    <w:p w:rsidR="00BB0C8B" w:rsidRPr="00BB0C8B" w:rsidRDefault="00BB0C8B" w:rsidP="00BB0C8B">
      <w:pPr>
        <w:pStyle w:val="ListParagraph"/>
        <w:rPr>
          <w:rFonts w:cstheme="minorHAnsi"/>
          <w:b/>
          <w:color w:val="C00000"/>
        </w:rPr>
      </w:pPr>
      <w:r w:rsidRPr="00BB0C8B">
        <w:rPr>
          <w:rFonts w:cstheme="minorHAnsi"/>
          <w:b/>
          <w:color w:val="C00000"/>
        </w:rPr>
        <w:t xml:space="preserve">There are nine areas listed in ASC: </w:t>
      </w:r>
    </w:p>
    <w:p w:rsidR="00BB0C8B" w:rsidRPr="00BB0C8B" w:rsidRDefault="00BB0C8B" w:rsidP="00BB0C8B">
      <w:pPr>
        <w:pStyle w:val="ListParagraph"/>
        <w:rPr>
          <w:rFonts w:cstheme="minorHAnsi"/>
          <w:b/>
          <w:color w:val="C00000"/>
        </w:rPr>
      </w:pPr>
      <w:r w:rsidRPr="00BB0C8B">
        <w:rPr>
          <w:rFonts w:cstheme="minorHAnsi"/>
          <w:b/>
          <w:color w:val="C00000"/>
        </w:rPr>
        <w:t>General Principles – 1xx</w:t>
      </w:r>
    </w:p>
    <w:p w:rsidR="00BB0C8B" w:rsidRPr="00BB0C8B" w:rsidRDefault="00BB0C8B" w:rsidP="00BB0C8B">
      <w:pPr>
        <w:pStyle w:val="ListParagraph"/>
        <w:rPr>
          <w:rFonts w:cstheme="minorHAnsi"/>
          <w:b/>
          <w:color w:val="C00000"/>
        </w:rPr>
      </w:pPr>
      <w:r w:rsidRPr="00BB0C8B">
        <w:rPr>
          <w:rFonts w:cstheme="minorHAnsi"/>
          <w:b/>
          <w:color w:val="C00000"/>
        </w:rPr>
        <w:t>Presentation – 2xx</w:t>
      </w:r>
    </w:p>
    <w:p w:rsidR="00BB0C8B" w:rsidRPr="00BB0C8B" w:rsidRDefault="00BB0C8B" w:rsidP="00BB0C8B">
      <w:pPr>
        <w:pStyle w:val="ListParagraph"/>
        <w:rPr>
          <w:rFonts w:cstheme="minorHAnsi"/>
          <w:b/>
          <w:color w:val="C00000"/>
        </w:rPr>
      </w:pPr>
      <w:r w:rsidRPr="00BB0C8B">
        <w:rPr>
          <w:rFonts w:cstheme="minorHAnsi"/>
          <w:b/>
          <w:color w:val="C00000"/>
        </w:rPr>
        <w:t>Assets – 3xx</w:t>
      </w:r>
    </w:p>
    <w:p w:rsidR="00BB0C8B" w:rsidRPr="00BB0C8B" w:rsidRDefault="00BB0C8B" w:rsidP="00BB0C8B">
      <w:pPr>
        <w:pStyle w:val="ListParagraph"/>
        <w:rPr>
          <w:rFonts w:cstheme="minorHAnsi"/>
          <w:b/>
          <w:color w:val="C00000"/>
        </w:rPr>
      </w:pPr>
      <w:r w:rsidRPr="00BB0C8B">
        <w:rPr>
          <w:rFonts w:cstheme="minorHAnsi"/>
          <w:b/>
          <w:color w:val="C00000"/>
        </w:rPr>
        <w:t>Liabilities – 4xx</w:t>
      </w:r>
    </w:p>
    <w:p w:rsidR="00BB0C8B" w:rsidRPr="00BB0C8B" w:rsidRDefault="00BB0C8B" w:rsidP="00BB0C8B">
      <w:pPr>
        <w:pStyle w:val="ListParagraph"/>
        <w:rPr>
          <w:rFonts w:cstheme="minorHAnsi"/>
          <w:b/>
          <w:color w:val="C00000"/>
        </w:rPr>
      </w:pPr>
      <w:r w:rsidRPr="00BB0C8B">
        <w:rPr>
          <w:rFonts w:cstheme="minorHAnsi"/>
          <w:b/>
          <w:color w:val="C00000"/>
        </w:rPr>
        <w:t>Equity – 5xx</w:t>
      </w:r>
    </w:p>
    <w:p w:rsidR="00BB0C8B" w:rsidRPr="00BB0C8B" w:rsidRDefault="00BB0C8B" w:rsidP="00BB0C8B">
      <w:pPr>
        <w:pStyle w:val="ListParagraph"/>
        <w:rPr>
          <w:rFonts w:cstheme="minorHAnsi"/>
          <w:b/>
          <w:color w:val="C00000"/>
        </w:rPr>
      </w:pPr>
      <w:r w:rsidRPr="00BB0C8B">
        <w:rPr>
          <w:rFonts w:cstheme="minorHAnsi"/>
          <w:b/>
          <w:color w:val="C00000"/>
        </w:rPr>
        <w:t>Revenue – 6xx</w:t>
      </w:r>
    </w:p>
    <w:p w:rsidR="00BB0C8B" w:rsidRPr="00BB0C8B" w:rsidRDefault="00BB0C8B" w:rsidP="00BB0C8B">
      <w:pPr>
        <w:pStyle w:val="ListParagraph"/>
        <w:rPr>
          <w:rFonts w:cstheme="minorHAnsi"/>
          <w:b/>
          <w:color w:val="C00000"/>
        </w:rPr>
      </w:pPr>
      <w:r w:rsidRPr="00BB0C8B">
        <w:rPr>
          <w:rFonts w:cstheme="minorHAnsi"/>
          <w:b/>
          <w:color w:val="C00000"/>
        </w:rPr>
        <w:lastRenderedPageBreak/>
        <w:t>Expenses – 7xx</w:t>
      </w:r>
    </w:p>
    <w:p w:rsidR="00BB0C8B" w:rsidRPr="00BB0C8B" w:rsidRDefault="00BB0C8B" w:rsidP="00BB0C8B">
      <w:pPr>
        <w:pStyle w:val="ListParagraph"/>
        <w:rPr>
          <w:rFonts w:cstheme="minorHAnsi"/>
          <w:b/>
          <w:color w:val="C00000"/>
        </w:rPr>
      </w:pPr>
      <w:r w:rsidRPr="00BB0C8B">
        <w:rPr>
          <w:rFonts w:cstheme="minorHAnsi"/>
          <w:b/>
          <w:color w:val="C00000"/>
        </w:rPr>
        <w:t>Broad Transactions – 8xx</w:t>
      </w:r>
    </w:p>
    <w:p w:rsidR="00BB0C8B" w:rsidRDefault="00BB0C8B" w:rsidP="00BB0C8B">
      <w:pPr>
        <w:pStyle w:val="ListParagraph"/>
        <w:rPr>
          <w:rFonts w:cstheme="minorHAnsi"/>
          <w:b/>
          <w:color w:val="C00000"/>
        </w:rPr>
      </w:pPr>
      <w:r w:rsidRPr="00BB0C8B">
        <w:rPr>
          <w:rFonts w:cstheme="minorHAnsi"/>
          <w:b/>
          <w:color w:val="C00000"/>
        </w:rPr>
        <w:t>Industry – 9xx</w:t>
      </w:r>
    </w:p>
    <w:p w:rsidR="00F33DAA" w:rsidRPr="00BB0C8B" w:rsidRDefault="00F33DAA" w:rsidP="00BB0C8B">
      <w:pPr>
        <w:pStyle w:val="ListParagraph"/>
        <w:rPr>
          <w:rFonts w:cstheme="minorHAnsi"/>
        </w:rPr>
      </w:pPr>
    </w:p>
    <w:p w:rsidR="00C57807" w:rsidRPr="00717999" w:rsidRDefault="00F33DAA" w:rsidP="00C57807">
      <w:pPr>
        <w:pStyle w:val="ListParagraph"/>
        <w:rPr>
          <w:rFonts w:cstheme="minorHAnsi"/>
        </w:rPr>
      </w:pPr>
      <w:r>
        <w:rPr>
          <w:noProof/>
        </w:rPr>
        <w:drawing>
          <wp:inline distT="0" distB="0" distL="0" distR="0" wp14:anchorId="30190C4E" wp14:editId="4C876373">
            <wp:extent cx="4295775" cy="41529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95775" cy="4152900"/>
                    </a:xfrm>
                    <a:prstGeom prst="rect">
                      <a:avLst/>
                    </a:prstGeom>
                  </pic:spPr>
                </pic:pic>
              </a:graphicData>
            </a:graphic>
          </wp:inline>
        </w:drawing>
      </w:r>
    </w:p>
    <w:p w:rsidR="00C57807" w:rsidRDefault="00C57807" w:rsidP="00C57807">
      <w:pPr>
        <w:pStyle w:val="ListParagraph"/>
        <w:numPr>
          <w:ilvl w:val="0"/>
          <w:numId w:val="1"/>
        </w:numPr>
        <w:rPr>
          <w:rFonts w:eastAsia="Times New Roman" w:cstheme="minorHAnsi"/>
        </w:rPr>
      </w:pPr>
      <w:r w:rsidRPr="00717999">
        <w:rPr>
          <w:rFonts w:eastAsia="Times New Roman" w:cstheme="minorHAnsi"/>
        </w:rPr>
        <w:t xml:space="preserve">The more familiar you are with the Codification’s specific Sections, the faster you will be at finding answers to your research questions. Fortunately, it is easy to familiarize yourself with the Codification’s Sections because they are standardized across all of the Codification’s Subtopics. </w:t>
      </w:r>
      <w:r w:rsidR="00F9031A" w:rsidRPr="00717999">
        <w:rPr>
          <w:rFonts w:eastAsia="Times New Roman" w:cstheme="minorHAnsi"/>
          <w:color w:val="0000FF"/>
        </w:rPr>
        <w:t>What are the standardized sections?</w:t>
      </w:r>
      <w:r w:rsidR="00F9031A" w:rsidRPr="00717999">
        <w:rPr>
          <w:rFonts w:eastAsia="Times New Roman" w:cstheme="minorHAnsi"/>
        </w:rPr>
        <w:t xml:space="preserve"> In your answer include the number and title of the standardized sections.</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00 – Status</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05 – Overview and Background</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10 – Objectives</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15 – Scope and Scope exceptions</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20 – Glossary</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25 – Recognition</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30 – Initial Measurement</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 xml:space="preserve">32 – Measurement </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35 – Subsequent Measurement</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 xml:space="preserve">40 – </w:t>
      </w:r>
      <w:proofErr w:type="spellStart"/>
      <w:r w:rsidRPr="00F33DAA">
        <w:rPr>
          <w:rFonts w:eastAsia="Times New Roman" w:cstheme="minorHAnsi"/>
          <w:b/>
          <w:color w:val="C00000"/>
        </w:rPr>
        <w:t>Derecognition</w:t>
      </w:r>
      <w:proofErr w:type="spellEnd"/>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45 – Other Presentation Matters</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 xml:space="preserve">50 – Disclosure </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55 – Implementation Guidance and Illustrations</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60 – Relationships</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65 – Transition and Open Effective Date Information</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70 – Grandfathered Guidance</w:t>
      </w:r>
    </w:p>
    <w:p w:rsidR="00F33DAA" w:rsidRPr="00F33DAA" w:rsidRDefault="00F33DAA" w:rsidP="00F33DAA">
      <w:pPr>
        <w:pStyle w:val="ListParagraph"/>
        <w:rPr>
          <w:rFonts w:eastAsia="Times New Roman" w:cstheme="minorHAnsi"/>
          <w:b/>
          <w:color w:val="C00000"/>
        </w:rPr>
      </w:pPr>
      <w:r w:rsidRPr="00F33DAA">
        <w:rPr>
          <w:rFonts w:eastAsia="Times New Roman" w:cstheme="minorHAnsi"/>
          <w:b/>
          <w:color w:val="C00000"/>
        </w:rPr>
        <w:t>75 – XBRL Elements</w:t>
      </w:r>
    </w:p>
    <w:p w:rsidR="00AA25C0" w:rsidRPr="00717999" w:rsidRDefault="00AA25C0" w:rsidP="00AA25C0">
      <w:pPr>
        <w:pStyle w:val="ListParagraph"/>
        <w:rPr>
          <w:rFonts w:eastAsia="Times New Roman" w:cstheme="minorHAnsi"/>
        </w:rPr>
      </w:pPr>
    </w:p>
    <w:p w:rsidR="00AA25C0" w:rsidRPr="00F33DAA" w:rsidRDefault="00AA25C0" w:rsidP="00F33DAA">
      <w:pPr>
        <w:pStyle w:val="ListParagraph"/>
        <w:numPr>
          <w:ilvl w:val="0"/>
          <w:numId w:val="1"/>
        </w:numPr>
        <w:rPr>
          <w:rFonts w:eastAsia="Times New Roman" w:cstheme="minorHAnsi"/>
        </w:rPr>
      </w:pPr>
      <w:r w:rsidRPr="00717999">
        <w:rPr>
          <w:rFonts w:cstheme="minorHAnsi"/>
        </w:rPr>
        <w:t>Sections are the only pages with Codification content that answers your research question. Thus, you will need to navigate</w:t>
      </w:r>
      <w:r w:rsidR="00CC6222" w:rsidRPr="00717999">
        <w:rPr>
          <w:rFonts w:cstheme="minorHAnsi"/>
        </w:rPr>
        <w:t xml:space="preserve"> (drill down)</w:t>
      </w:r>
      <w:r w:rsidR="002B1390" w:rsidRPr="00717999">
        <w:rPr>
          <w:rFonts w:cstheme="minorHAnsi"/>
        </w:rPr>
        <w:t xml:space="preserve"> </w:t>
      </w:r>
      <w:r w:rsidRPr="00717999">
        <w:rPr>
          <w:rFonts w:cstheme="minorHAnsi"/>
        </w:rPr>
        <w:t xml:space="preserve">to a specific Section or Sections to find answers to your research questions. </w:t>
      </w:r>
      <w:r w:rsidR="00302602" w:rsidRPr="00717999">
        <w:rPr>
          <w:rFonts w:cstheme="minorHAnsi"/>
        </w:rPr>
        <w:t xml:space="preserve">Each Section in a Subtopic has its own “landing page”. </w:t>
      </w:r>
      <w:r w:rsidR="00EE51AF" w:rsidRPr="00717999">
        <w:rPr>
          <w:rFonts w:cstheme="minorHAnsi"/>
          <w:color w:val="0000FF"/>
        </w:rPr>
        <w:t xml:space="preserve">Can you see the content of all </w:t>
      </w:r>
      <w:r w:rsidR="00717999" w:rsidRPr="00717999">
        <w:rPr>
          <w:rFonts w:cstheme="minorHAnsi"/>
          <w:color w:val="0000FF"/>
        </w:rPr>
        <w:t xml:space="preserve">of a </w:t>
      </w:r>
      <w:r w:rsidR="00EE51AF" w:rsidRPr="00717999">
        <w:rPr>
          <w:rFonts w:cstheme="minorHAnsi"/>
          <w:color w:val="0000FF"/>
        </w:rPr>
        <w:t>Subtopic’s Sections on a single page? If so, how?</w:t>
      </w:r>
      <w:r w:rsidR="002B1390" w:rsidRPr="00717999">
        <w:rPr>
          <w:rFonts w:cstheme="minorHAnsi"/>
          <w:color w:val="0000FF"/>
        </w:rPr>
        <w:t xml:space="preserve"> </w:t>
      </w:r>
      <w:r w:rsidR="002B1390" w:rsidRPr="00717999">
        <w:rPr>
          <w:rFonts w:cstheme="minorHAnsi"/>
        </w:rPr>
        <w:t>Choose any Topic and Subtopic and provide a before and after screenshot of how the view changes in the Codification.</w:t>
      </w:r>
    </w:p>
    <w:p w:rsidR="00C57807" w:rsidRPr="00F33DAA" w:rsidRDefault="00F33DAA" w:rsidP="00C57807">
      <w:pPr>
        <w:pStyle w:val="ListParagraph"/>
        <w:rPr>
          <w:rFonts w:cstheme="minorHAnsi"/>
          <w:b/>
          <w:color w:val="C00000"/>
        </w:rPr>
      </w:pPr>
      <w:r w:rsidRPr="00F33DAA">
        <w:rPr>
          <w:rFonts w:cstheme="minorHAnsi"/>
          <w:b/>
          <w:color w:val="C00000"/>
        </w:rPr>
        <w:t>Yes, you can see the content of all subtopic’s section on a single page by using the “join all sections” feature.</w:t>
      </w:r>
    </w:p>
    <w:p w:rsidR="000347CB" w:rsidRPr="00717999" w:rsidRDefault="000347CB" w:rsidP="000347CB">
      <w:pPr>
        <w:pStyle w:val="ListParagraph"/>
        <w:rPr>
          <w:rFonts w:cstheme="minorHAnsi"/>
        </w:rPr>
      </w:pPr>
    </w:p>
    <w:p w:rsidR="00C57807" w:rsidRPr="00F33DAA" w:rsidRDefault="000347CB" w:rsidP="00C57807">
      <w:pPr>
        <w:pStyle w:val="ListParagraph"/>
        <w:numPr>
          <w:ilvl w:val="0"/>
          <w:numId w:val="1"/>
        </w:numPr>
        <w:rPr>
          <w:rFonts w:cstheme="minorHAnsi"/>
        </w:rPr>
      </w:pPr>
      <w:r w:rsidRPr="00717999">
        <w:rPr>
          <w:rFonts w:cstheme="minorHAnsi"/>
        </w:rPr>
        <w:t xml:space="preserve">Proper citation of the ASC requires numerical referencing to the hierarchy to the specific location where you found the answer to your research question. </w:t>
      </w:r>
      <w:r w:rsidRPr="00717999">
        <w:rPr>
          <w:rFonts w:cstheme="minorHAnsi"/>
          <w:color w:val="0000FF"/>
        </w:rPr>
        <w:t xml:space="preserve">Provide the citation of where you would begin your research for the following </w:t>
      </w:r>
      <w:r w:rsidR="00717999" w:rsidRPr="00717999">
        <w:rPr>
          <w:rFonts w:cstheme="minorHAnsi"/>
          <w:color w:val="0000FF"/>
        </w:rPr>
        <w:t xml:space="preserve">4 </w:t>
      </w:r>
      <w:r w:rsidRPr="00717999">
        <w:rPr>
          <w:rFonts w:cstheme="minorHAnsi"/>
          <w:color w:val="0000FF"/>
        </w:rPr>
        <w:t>areas and include the title after the citation.</w:t>
      </w:r>
      <w:r w:rsidRPr="00717999">
        <w:rPr>
          <w:rFonts w:cstheme="minorHAnsi"/>
        </w:rPr>
        <w:t xml:space="preserve"> You don’t have to answer the question</w:t>
      </w:r>
      <w:r w:rsidR="00717999" w:rsidRPr="00717999">
        <w:rPr>
          <w:rFonts w:cstheme="minorHAnsi"/>
        </w:rPr>
        <w:t>, only provide the citation for the question</w:t>
      </w:r>
      <w:r w:rsidRPr="00717999">
        <w:rPr>
          <w:rFonts w:cstheme="minorHAnsi"/>
        </w:rPr>
        <w:t>! For example, ASC 840-20-25-6: Leases – Operating leases – Recognition – Lease incentives.</w:t>
      </w:r>
    </w:p>
    <w:p w:rsidR="00C57807" w:rsidRPr="00717999" w:rsidRDefault="00C57807" w:rsidP="00C57807">
      <w:pPr>
        <w:rPr>
          <w:rFonts w:asciiTheme="minorHAnsi" w:hAnsiTheme="minorHAnsi" w:cstheme="minorHAnsi"/>
        </w:rPr>
      </w:pPr>
    </w:p>
    <w:p w:rsidR="00F33DAA" w:rsidRPr="00F33DAA" w:rsidRDefault="00F33DAA" w:rsidP="00F33DAA">
      <w:pPr>
        <w:numPr>
          <w:ilvl w:val="0"/>
          <w:numId w:val="4"/>
        </w:numPr>
        <w:contextualSpacing/>
      </w:pPr>
      <w:r w:rsidRPr="00F33DAA">
        <w:t>Determine what amount to record when you acquire a receivable when you sold service.</w:t>
      </w:r>
    </w:p>
    <w:p w:rsidR="00F33DAA" w:rsidRPr="00F33DAA" w:rsidRDefault="00F33DAA" w:rsidP="00F33DAA">
      <w:pPr>
        <w:ind w:left="1800"/>
        <w:contextualSpacing/>
        <w:rPr>
          <w:b/>
          <w:color w:val="C00000"/>
        </w:rPr>
      </w:pPr>
      <w:r w:rsidRPr="00F33DAA">
        <w:rPr>
          <w:b/>
          <w:color w:val="C00000"/>
        </w:rPr>
        <w:t>ASC 310-10-25-2:  Receivables- Overall- Recognition- Recognition of Certain Types of Receivables</w:t>
      </w:r>
    </w:p>
    <w:p w:rsidR="00F33DAA" w:rsidRPr="00F33DAA" w:rsidRDefault="00F33DAA" w:rsidP="00F33DAA">
      <w:pPr>
        <w:numPr>
          <w:ilvl w:val="0"/>
          <w:numId w:val="4"/>
        </w:numPr>
        <w:contextualSpacing/>
      </w:pPr>
      <w:r w:rsidRPr="00F33DAA">
        <w:t>Resolve a question related to the way an airline company recognizes revenue.</w:t>
      </w:r>
    </w:p>
    <w:p w:rsidR="00F33DAA" w:rsidRPr="00F33DAA" w:rsidRDefault="00F33DAA" w:rsidP="00F33DAA">
      <w:pPr>
        <w:ind w:left="1800"/>
        <w:contextualSpacing/>
        <w:rPr>
          <w:b/>
          <w:color w:val="C00000"/>
        </w:rPr>
      </w:pPr>
      <w:r w:rsidRPr="00F33DAA">
        <w:rPr>
          <w:b/>
          <w:color w:val="C00000"/>
        </w:rPr>
        <w:t>ASC 908-605-25-6: Airlines- Revenue Recognition- Recognition- Sampling Method</w:t>
      </w:r>
    </w:p>
    <w:p w:rsidR="00F33DAA" w:rsidRPr="00F33DAA" w:rsidRDefault="00F33DAA" w:rsidP="00F33DAA">
      <w:pPr>
        <w:numPr>
          <w:ilvl w:val="0"/>
          <w:numId w:val="4"/>
        </w:numPr>
        <w:contextualSpacing/>
      </w:pPr>
      <w:r w:rsidRPr="00F33DAA">
        <w:t>Determine whether to recognize a contingent loss liability.</w:t>
      </w:r>
    </w:p>
    <w:p w:rsidR="00F33DAA" w:rsidRPr="00F33DAA" w:rsidRDefault="00F33DAA" w:rsidP="00F33DAA">
      <w:pPr>
        <w:ind w:left="1800"/>
        <w:contextualSpacing/>
        <w:rPr>
          <w:b/>
          <w:color w:val="C00000"/>
        </w:rPr>
      </w:pPr>
      <w:r w:rsidRPr="00F33DAA">
        <w:rPr>
          <w:b/>
          <w:color w:val="C00000"/>
        </w:rPr>
        <w:t>ASC 450-20-25-1: Contingencies- Loss Contingencies- Recognition- General Rule</w:t>
      </w:r>
    </w:p>
    <w:p w:rsidR="00F33DAA" w:rsidRPr="00F33DAA" w:rsidRDefault="00F33DAA" w:rsidP="00F33DAA">
      <w:pPr>
        <w:numPr>
          <w:ilvl w:val="0"/>
          <w:numId w:val="4"/>
        </w:numPr>
        <w:contextualSpacing/>
      </w:pPr>
      <w:r w:rsidRPr="00F33DAA">
        <w:t>Where you would find a listing of the items that should appear in other comprehensive income (OCI)?</w:t>
      </w:r>
    </w:p>
    <w:p w:rsidR="00F33DAA" w:rsidRPr="00F33DAA" w:rsidRDefault="00F33DAA" w:rsidP="00F33DAA">
      <w:pPr>
        <w:ind w:left="1800"/>
        <w:contextualSpacing/>
        <w:rPr>
          <w:b/>
          <w:color w:val="C00000"/>
        </w:rPr>
      </w:pPr>
      <w:r w:rsidRPr="00F33DAA">
        <w:rPr>
          <w:b/>
          <w:color w:val="C00000"/>
        </w:rPr>
        <w:t>ASC 220-10-45-10A: Income Statement Reporting Comprehensive Income- Overall- Other Presentation Matters- Items within Other Comprehensive Income</w:t>
      </w:r>
    </w:p>
    <w:p w:rsidR="00FE725F" w:rsidRPr="00717999" w:rsidRDefault="00FE725F" w:rsidP="00C57807">
      <w:pPr>
        <w:rPr>
          <w:rFonts w:asciiTheme="minorHAnsi" w:hAnsiTheme="minorHAnsi" w:cstheme="minorHAnsi"/>
        </w:rPr>
      </w:pPr>
    </w:p>
    <w:sectPr w:rsidR="00FE725F" w:rsidRPr="00717999" w:rsidSect="00C5780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55D0C"/>
    <w:multiLevelType w:val="hybridMultilevel"/>
    <w:tmpl w:val="D84EE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844043"/>
    <w:multiLevelType w:val="hybridMultilevel"/>
    <w:tmpl w:val="1638E0FC"/>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0DC53C9"/>
    <w:multiLevelType w:val="hybridMultilevel"/>
    <w:tmpl w:val="7316B20A"/>
    <w:lvl w:ilvl="0" w:tplc="B8B0EF5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2"/>
  </w:compat>
  <w:docVars>
    <w:docVar w:name="__Grammarly_42____i" w:val="H4sIAAAAAAAEAKtWckksSQxILCpxzi/NK1GyMqwFAAEhoTITAAAA"/>
    <w:docVar w:name="__Grammarly_42___1" w:val="H4sIAAAAAAAEAKtWcslP9kxRslIyNDYyMDQ1N7YwMrQ0MDIyNDNW0lEKTi0uzszPAykwrAUAj2h5DywAAAA="/>
  </w:docVars>
  <w:rsids>
    <w:rsidRoot w:val="00984B8A"/>
    <w:rsid w:val="000347CB"/>
    <w:rsid w:val="000D4781"/>
    <w:rsid w:val="000F5D49"/>
    <w:rsid w:val="0011761C"/>
    <w:rsid w:val="00153497"/>
    <w:rsid w:val="0017465D"/>
    <w:rsid w:val="00226D79"/>
    <w:rsid w:val="00263484"/>
    <w:rsid w:val="002B1390"/>
    <w:rsid w:val="00302602"/>
    <w:rsid w:val="00380065"/>
    <w:rsid w:val="00392E51"/>
    <w:rsid w:val="00534397"/>
    <w:rsid w:val="00570539"/>
    <w:rsid w:val="006116DF"/>
    <w:rsid w:val="00717999"/>
    <w:rsid w:val="007A1970"/>
    <w:rsid w:val="008A560F"/>
    <w:rsid w:val="00953F43"/>
    <w:rsid w:val="00984B8A"/>
    <w:rsid w:val="009D392B"/>
    <w:rsid w:val="00AA25C0"/>
    <w:rsid w:val="00AB2BE5"/>
    <w:rsid w:val="00B33FE6"/>
    <w:rsid w:val="00BB0C8B"/>
    <w:rsid w:val="00BE03B0"/>
    <w:rsid w:val="00BE7A42"/>
    <w:rsid w:val="00C57807"/>
    <w:rsid w:val="00C73570"/>
    <w:rsid w:val="00C96806"/>
    <w:rsid w:val="00CC6222"/>
    <w:rsid w:val="00D8509B"/>
    <w:rsid w:val="00E23639"/>
    <w:rsid w:val="00EE51AF"/>
    <w:rsid w:val="00F33DAA"/>
    <w:rsid w:val="00F9031A"/>
    <w:rsid w:val="00FD346A"/>
    <w:rsid w:val="00FE72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5C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03B0"/>
    <w:pPr>
      <w:ind w:left="720"/>
      <w:contextualSpacing/>
    </w:pPr>
    <w:rPr>
      <w:rFonts w:asciiTheme="minorHAnsi" w:eastAsiaTheme="minorEastAsia" w:hAnsiTheme="minorHAnsi" w:cstheme="minorBidi"/>
    </w:rPr>
  </w:style>
  <w:style w:type="paragraph" w:styleId="BalloonText">
    <w:name w:val="Balloon Text"/>
    <w:basedOn w:val="Normal"/>
    <w:link w:val="BalloonTextChar"/>
    <w:uiPriority w:val="99"/>
    <w:semiHidden/>
    <w:unhideWhenUsed/>
    <w:rsid w:val="00C96806"/>
    <w:rPr>
      <w:rFonts w:ascii="Tahoma" w:hAnsi="Tahoma" w:cs="Tahoma"/>
      <w:sz w:val="16"/>
      <w:szCs w:val="16"/>
    </w:rPr>
  </w:style>
  <w:style w:type="character" w:customStyle="1" w:styleId="BalloonTextChar">
    <w:name w:val="Balloon Text Char"/>
    <w:basedOn w:val="DefaultParagraphFont"/>
    <w:link w:val="BalloonText"/>
    <w:uiPriority w:val="99"/>
    <w:semiHidden/>
    <w:rsid w:val="00C9680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176771">
      <w:bodyDiv w:val="1"/>
      <w:marLeft w:val="0"/>
      <w:marRight w:val="0"/>
      <w:marTop w:val="0"/>
      <w:marBottom w:val="0"/>
      <w:divBdr>
        <w:top w:val="none" w:sz="0" w:space="0" w:color="auto"/>
        <w:left w:val="none" w:sz="0" w:space="0" w:color="auto"/>
        <w:bottom w:val="none" w:sz="0" w:space="0" w:color="auto"/>
        <w:right w:val="none" w:sz="0" w:space="0" w:color="auto"/>
      </w:divBdr>
    </w:div>
    <w:div w:id="1278367601">
      <w:bodyDiv w:val="1"/>
      <w:marLeft w:val="0"/>
      <w:marRight w:val="0"/>
      <w:marTop w:val="0"/>
      <w:marBottom w:val="0"/>
      <w:divBdr>
        <w:top w:val="none" w:sz="0" w:space="0" w:color="auto"/>
        <w:left w:val="none" w:sz="0" w:space="0" w:color="auto"/>
        <w:bottom w:val="none" w:sz="0" w:space="0" w:color="auto"/>
        <w:right w:val="none" w:sz="0" w:space="0" w:color="auto"/>
      </w:divBdr>
      <w:divsChild>
        <w:div w:id="455834688">
          <w:marLeft w:val="0"/>
          <w:marRight w:val="0"/>
          <w:marTop w:val="0"/>
          <w:marBottom w:val="0"/>
          <w:divBdr>
            <w:top w:val="none" w:sz="0" w:space="0" w:color="auto"/>
            <w:left w:val="none" w:sz="0" w:space="0" w:color="auto"/>
            <w:bottom w:val="none" w:sz="0" w:space="0" w:color="auto"/>
            <w:right w:val="none" w:sz="0" w:space="0" w:color="auto"/>
          </w:divBdr>
        </w:div>
        <w:div w:id="1669021596">
          <w:marLeft w:val="0"/>
          <w:marRight w:val="0"/>
          <w:marTop w:val="0"/>
          <w:marBottom w:val="0"/>
          <w:divBdr>
            <w:top w:val="none" w:sz="0" w:space="0" w:color="auto"/>
            <w:left w:val="none" w:sz="0" w:space="0" w:color="auto"/>
            <w:bottom w:val="none" w:sz="0" w:space="0" w:color="auto"/>
            <w:right w:val="none" w:sz="0" w:space="0" w:color="auto"/>
          </w:divBdr>
        </w:div>
        <w:div w:id="1515920821">
          <w:marLeft w:val="0"/>
          <w:marRight w:val="0"/>
          <w:marTop w:val="0"/>
          <w:marBottom w:val="0"/>
          <w:divBdr>
            <w:top w:val="none" w:sz="0" w:space="0" w:color="auto"/>
            <w:left w:val="none" w:sz="0" w:space="0" w:color="auto"/>
            <w:bottom w:val="none" w:sz="0" w:space="0" w:color="auto"/>
            <w:right w:val="none" w:sz="0" w:space="0" w:color="auto"/>
          </w:divBdr>
        </w:div>
        <w:div w:id="1040475118">
          <w:marLeft w:val="0"/>
          <w:marRight w:val="0"/>
          <w:marTop w:val="0"/>
          <w:marBottom w:val="0"/>
          <w:divBdr>
            <w:top w:val="none" w:sz="0" w:space="0" w:color="auto"/>
            <w:left w:val="none" w:sz="0" w:space="0" w:color="auto"/>
            <w:bottom w:val="none" w:sz="0" w:space="0" w:color="auto"/>
            <w:right w:val="none" w:sz="0" w:space="0" w:color="auto"/>
          </w:divBdr>
        </w:div>
        <w:div w:id="1046832195">
          <w:marLeft w:val="0"/>
          <w:marRight w:val="0"/>
          <w:marTop w:val="0"/>
          <w:marBottom w:val="0"/>
          <w:divBdr>
            <w:top w:val="none" w:sz="0" w:space="0" w:color="auto"/>
            <w:left w:val="none" w:sz="0" w:space="0" w:color="auto"/>
            <w:bottom w:val="none" w:sz="0" w:space="0" w:color="auto"/>
            <w:right w:val="none" w:sz="0" w:space="0" w:color="auto"/>
          </w:divBdr>
        </w:div>
        <w:div w:id="111169753">
          <w:marLeft w:val="0"/>
          <w:marRight w:val="0"/>
          <w:marTop w:val="0"/>
          <w:marBottom w:val="0"/>
          <w:divBdr>
            <w:top w:val="none" w:sz="0" w:space="0" w:color="auto"/>
            <w:left w:val="none" w:sz="0" w:space="0" w:color="auto"/>
            <w:bottom w:val="none" w:sz="0" w:space="0" w:color="auto"/>
            <w:right w:val="none" w:sz="0" w:space="0" w:color="auto"/>
          </w:divBdr>
        </w:div>
        <w:div w:id="932400812">
          <w:marLeft w:val="0"/>
          <w:marRight w:val="0"/>
          <w:marTop w:val="0"/>
          <w:marBottom w:val="0"/>
          <w:divBdr>
            <w:top w:val="none" w:sz="0" w:space="0" w:color="auto"/>
            <w:left w:val="none" w:sz="0" w:space="0" w:color="auto"/>
            <w:bottom w:val="none" w:sz="0" w:space="0" w:color="auto"/>
            <w:right w:val="none" w:sz="0" w:space="0" w:color="auto"/>
          </w:divBdr>
        </w:div>
      </w:divsChild>
    </w:div>
    <w:div w:id="1325475183">
      <w:bodyDiv w:val="1"/>
      <w:marLeft w:val="0"/>
      <w:marRight w:val="0"/>
      <w:marTop w:val="0"/>
      <w:marBottom w:val="0"/>
      <w:divBdr>
        <w:top w:val="none" w:sz="0" w:space="0" w:color="auto"/>
        <w:left w:val="none" w:sz="0" w:space="0" w:color="auto"/>
        <w:bottom w:val="none" w:sz="0" w:space="0" w:color="auto"/>
        <w:right w:val="none" w:sz="0" w:space="0" w:color="auto"/>
      </w:divBdr>
      <w:divsChild>
        <w:div w:id="1196893838">
          <w:marLeft w:val="0"/>
          <w:marRight w:val="0"/>
          <w:marTop w:val="0"/>
          <w:marBottom w:val="0"/>
          <w:divBdr>
            <w:top w:val="none" w:sz="0" w:space="0" w:color="auto"/>
            <w:left w:val="none" w:sz="0" w:space="0" w:color="auto"/>
            <w:bottom w:val="none" w:sz="0" w:space="0" w:color="auto"/>
            <w:right w:val="none" w:sz="0" w:space="0" w:color="auto"/>
          </w:divBdr>
        </w:div>
        <w:div w:id="424767785">
          <w:marLeft w:val="0"/>
          <w:marRight w:val="0"/>
          <w:marTop w:val="0"/>
          <w:marBottom w:val="0"/>
          <w:divBdr>
            <w:top w:val="none" w:sz="0" w:space="0" w:color="auto"/>
            <w:left w:val="none" w:sz="0" w:space="0" w:color="auto"/>
            <w:bottom w:val="none" w:sz="0" w:space="0" w:color="auto"/>
            <w:right w:val="none" w:sz="0" w:space="0" w:color="auto"/>
          </w:divBdr>
        </w:div>
        <w:div w:id="1512526461">
          <w:marLeft w:val="0"/>
          <w:marRight w:val="0"/>
          <w:marTop w:val="0"/>
          <w:marBottom w:val="0"/>
          <w:divBdr>
            <w:top w:val="none" w:sz="0" w:space="0" w:color="auto"/>
            <w:left w:val="none" w:sz="0" w:space="0" w:color="auto"/>
            <w:bottom w:val="none" w:sz="0" w:space="0" w:color="auto"/>
            <w:right w:val="none" w:sz="0" w:space="0" w:color="auto"/>
          </w:divBdr>
        </w:div>
        <w:div w:id="938172548">
          <w:marLeft w:val="0"/>
          <w:marRight w:val="0"/>
          <w:marTop w:val="0"/>
          <w:marBottom w:val="0"/>
          <w:divBdr>
            <w:top w:val="none" w:sz="0" w:space="0" w:color="auto"/>
            <w:left w:val="none" w:sz="0" w:space="0" w:color="auto"/>
            <w:bottom w:val="none" w:sz="0" w:space="0" w:color="auto"/>
            <w:right w:val="none" w:sz="0" w:space="0" w:color="auto"/>
          </w:divBdr>
        </w:div>
        <w:div w:id="1302342090">
          <w:marLeft w:val="0"/>
          <w:marRight w:val="0"/>
          <w:marTop w:val="0"/>
          <w:marBottom w:val="0"/>
          <w:divBdr>
            <w:top w:val="none" w:sz="0" w:space="0" w:color="auto"/>
            <w:left w:val="none" w:sz="0" w:space="0" w:color="auto"/>
            <w:bottom w:val="none" w:sz="0" w:space="0" w:color="auto"/>
            <w:right w:val="none" w:sz="0" w:space="0" w:color="auto"/>
          </w:divBdr>
        </w:div>
        <w:div w:id="1334915781">
          <w:marLeft w:val="0"/>
          <w:marRight w:val="0"/>
          <w:marTop w:val="0"/>
          <w:marBottom w:val="0"/>
          <w:divBdr>
            <w:top w:val="none" w:sz="0" w:space="0" w:color="auto"/>
            <w:left w:val="none" w:sz="0" w:space="0" w:color="auto"/>
            <w:bottom w:val="none" w:sz="0" w:space="0" w:color="auto"/>
            <w:right w:val="none" w:sz="0" w:space="0" w:color="auto"/>
          </w:divBdr>
        </w:div>
      </w:divsChild>
    </w:div>
    <w:div w:id="1517185092">
      <w:bodyDiv w:val="1"/>
      <w:marLeft w:val="0"/>
      <w:marRight w:val="0"/>
      <w:marTop w:val="0"/>
      <w:marBottom w:val="0"/>
      <w:divBdr>
        <w:top w:val="none" w:sz="0" w:space="0" w:color="auto"/>
        <w:left w:val="none" w:sz="0" w:space="0" w:color="auto"/>
        <w:bottom w:val="none" w:sz="0" w:space="0" w:color="auto"/>
        <w:right w:val="none" w:sz="0" w:space="0" w:color="auto"/>
      </w:divBdr>
      <w:divsChild>
        <w:div w:id="1034844633">
          <w:marLeft w:val="0"/>
          <w:marRight w:val="0"/>
          <w:marTop w:val="0"/>
          <w:marBottom w:val="0"/>
          <w:divBdr>
            <w:top w:val="none" w:sz="0" w:space="0" w:color="auto"/>
            <w:left w:val="none" w:sz="0" w:space="0" w:color="auto"/>
            <w:bottom w:val="none" w:sz="0" w:space="0" w:color="auto"/>
            <w:right w:val="none" w:sz="0" w:space="0" w:color="auto"/>
          </w:divBdr>
        </w:div>
        <w:div w:id="471869623">
          <w:marLeft w:val="0"/>
          <w:marRight w:val="0"/>
          <w:marTop w:val="0"/>
          <w:marBottom w:val="0"/>
          <w:divBdr>
            <w:top w:val="none" w:sz="0" w:space="0" w:color="auto"/>
            <w:left w:val="none" w:sz="0" w:space="0" w:color="auto"/>
            <w:bottom w:val="none" w:sz="0" w:space="0" w:color="auto"/>
            <w:right w:val="none" w:sz="0" w:space="0" w:color="auto"/>
          </w:divBdr>
        </w:div>
        <w:div w:id="2086875916">
          <w:marLeft w:val="0"/>
          <w:marRight w:val="0"/>
          <w:marTop w:val="0"/>
          <w:marBottom w:val="0"/>
          <w:divBdr>
            <w:top w:val="none" w:sz="0" w:space="0" w:color="auto"/>
            <w:left w:val="none" w:sz="0" w:space="0" w:color="auto"/>
            <w:bottom w:val="none" w:sz="0" w:space="0" w:color="auto"/>
            <w:right w:val="none" w:sz="0" w:space="0" w:color="auto"/>
          </w:divBdr>
        </w:div>
        <w:div w:id="1794402611">
          <w:marLeft w:val="0"/>
          <w:marRight w:val="0"/>
          <w:marTop w:val="0"/>
          <w:marBottom w:val="0"/>
          <w:divBdr>
            <w:top w:val="none" w:sz="0" w:space="0" w:color="auto"/>
            <w:left w:val="none" w:sz="0" w:space="0" w:color="auto"/>
            <w:bottom w:val="none" w:sz="0" w:space="0" w:color="auto"/>
            <w:right w:val="none" w:sz="0" w:space="0" w:color="auto"/>
          </w:divBdr>
        </w:div>
        <w:div w:id="2132283296">
          <w:marLeft w:val="0"/>
          <w:marRight w:val="0"/>
          <w:marTop w:val="0"/>
          <w:marBottom w:val="0"/>
          <w:divBdr>
            <w:top w:val="none" w:sz="0" w:space="0" w:color="auto"/>
            <w:left w:val="none" w:sz="0" w:space="0" w:color="auto"/>
            <w:bottom w:val="none" w:sz="0" w:space="0" w:color="auto"/>
            <w:right w:val="none" w:sz="0" w:space="0" w:color="auto"/>
          </w:divBdr>
        </w:div>
        <w:div w:id="136338742">
          <w:marLeft w:val="0"/>
          <w:marRight w:val="0"/>
          <w:marTop w:val="0"/>
          <w:marBottom w:val="0"/>
          <w:divBdr>
            <w:top w:val="none" w:sz="0" w:space="0" w:color="auto"/>
            <w:left w:val="none" w:sz="0" w:space="0" w:color="auto"/>
            <w:bottom w:val="none" w:sz="0" w:space="0" w:color="auto"/>
            <w:right w:val="none" w:sz="0" w:space="0" w:color="auto"/>
          </w:divBdr>
        </w:div>
        <w:div w:id="2008362717">
          <w:marLeft w:val="0"/>
          <w:marRight w:val="0"/>
          <w:marTop w:val="0"/>
          <w:marBottom w:val="0"/>
          <w:divBdr>
            <w:top w:val="none" w:sz="0" w:space="0" w:color="auto"/>
            <w:left w:val="none" w:sz="0" w:space="0" w:color="auto"/>
            <w:bottom w:val="none" w:sz="0" w:space="0" w:color="auto"/>
            <w:right w:val="none" w:sz="0" w:space="0" w:color="auto"/>
          </w:divBdr>
        </w:div>
      </w:divsChild>
    </w:div>
    <w:div w:id="1801797279">
      <w:bodyDiv w:val="1"/>
      <w:marLeft w:val="0"/>
      <w:marRight w:val="0"/>
      <w:marTop w:val="0"/>
      <w:marBottom w:val="0"/>
      <w:divBdr>
        <w:top w:val="none" w:sz="0" w:space="0" w:color="auto"/>
        <w:left w:val="none" w:sz="0" w:space="0" w:color="auto"/>
        <w:bottom w:val="none" w:sz="0" w:space="0" w:color="auto"/>
        <w:right w:val="none" w:sz="0" w:space="0" w:color="auto"/>
      </w:divBdr>
      <w:divsChild>
        <w:div w:id="1847554659">
          <w:marLeft w:val="0"/>
          <w:marRight w:val="0"/>
          <w:marTop w:val="0"/>
          <w:marBottom w:val="0"/>
          <w:divBdr>
            <w:top w:val="none" w:sz="0" w:space="0" w:color="auto"/>
            <w:left w:val="none" w:sz="0" w:space="0" w:color="auto"/>
            <w:bottom w:val="none" w:sz="0" w:space="0" w:color="auto"/>
            <w:right w:val="none" w:sz="0" w:space="0" w:color="auto"/>
          </w:divBdr>
        </w:div>
        <w:div w:id="1731688469">
          <w:marLeft w:val="0"/>
          <w:marRight w:val="0"/>
          <w:marTop w:val="0"/>
          <w:marBottom w:val="0"/>
          <w:divBdr>
            <w:top w:val="none" w:sz="0" w:space="0" w:color="auto"/>
            <w:left w:val="none" w:sz="0" w:space="0" w:color="auto"/>
            <w:bottom w:val="none" w:sz="0" w:space="0" w:color="auto"/>
            <w:right w:val="none" w:sz="0" w:space="0" w:color="auto"/>
          </w:divBdr>
        </w:div>
      </w:divsChild>
    </w:div>
    <w:div w:id="186548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The University of Tampa</Company>
  <LinksUpToDate>false</LinksUpToDate>
  <CharactersWithSpaces>4817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N Bostick</dc:creator>
  <cp:lastModifiedBy>Simon</cp:lastModifiedBy>
  <cp:revision>2</cp:revision>
  <dcterms:created xsi:type="dcterms:W3CDTF">2019-05-05T23:50:00Z</dcterms:created>
  <dcterms:modified xsi:type="dcterms:W3CDTF">2019-05-05T23:50:00Z</dcterms:modified>
</cp:coreProperties>
</file>